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4D" w:rsidRPr="00E74D28" w:rsidRDefault="0028754D" w:rsidP="0028754D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Thurrock Emotional Wellbeing Forum</w:t>
      </w:r>
    </w:p>
    <w:p w:rsidR="00B56C83" w:rsidRPr="00E74D28" w:rsidRDefault="0028754D" w:rsidP="0028754D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 xml:space="preserve">For 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>Individuals, Families and Carers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  <w:r w:rsidR="008B3F5E" w:rsidRPr="00E74D28">
        <w:rPr>
          <w:rFonts w:ascii="Arial" w:hAnsi="Arial" w:cs="Arial"/>
          <w:noProof/>
          <w:sz w:val="24"/>
          <w:szCs w:val="24"/>
          <w14:ligatures w14:val="none"/>
        </w:rPr>
        <w:drawing>
          <wp:inline distT="0" distB="0" distL="0" distR="0">
            <wp:extent cx="1781175" cy="1458721"/>
            <wp:effectExtent l="0" t="0" r="0" b="8255"/>
            <wp:docPr id="1" name="Picture 1" descr="\\DISKSTATION\Shared Files\Partnership Boards\Emotional Wellbeing Forum\Thurrock Emotional Wellbeing 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Emotional Wellbeing Forum\Thurrock Emotional Wellbeing For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36" cy="14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83" w:rsidRPr="00E74D28" w:rsidRDefault="00B56C83" w:rsidP="008B3F5E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E26F72" w:rsidP="00B56C83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Monday 20</w:t>
      </w:r>
      <w:r w:rsidRPr="00E26F72">
        <w:rPr>
          <w:rFonts w:ascii="Arial" w:hAnsi="Arial" w:cs="Arial"/>
          <w:b/>
          <w:bCs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November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 xml:space="preserve"> 2017, 2.00 – 4.00 pm</w:t>
      </w:r>
    </w:p>
    <w:p w:rsidR="00B56C83" w:rsidRPr="00E74D28" w:rsidRDefault="00B56C83" w:rsidP="00B56C83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Thurrock Mind Crown House, Crown Road, Grays</w:t>
      </w:r>
    </w:p>
    <w:p w:rsidR="00B56C83" w:rsidRPr="00E74D28" w:rsidRDefault="00B56C83" w:rsidP="00B56C83">
      <w:pPr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Attendees:</w:t>
      </w:r>
    </w:p>
    <w:p w:rsidR="00E26F72" w:rsidRDefault="00B56C83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Ian Evans</w:t>
      </w:r>
      <w:r w:rsidR="00EE584B">
        <w:rPr>
          <w:rFonts w:ascii="Arial" w:hAnsi="Arial" w:cs="Arial"/>
          <w:sz w:val="24"/>
          <w:szCs w:val="24"/>
          <w14:ligatures w14:val="none"/>
        </w:rPr>
        <w:tab/>
        <w:t>- Facilitator</w:t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E584B">
        <w:rPr>
          <w:rFonts w:ascii="Arial" w:hAnsi="Arial" w:cs="Arial"/>
          <w:sz w:val="24"/>
          <w:szCs w:val="24"/>
          <w14:ligatures w14:val="none"/>
        </w:rPr>
        <w:tab/>
      </w:r>
      <w:r w:rsidR="00E26F72">
        <w:rPr>
          <w:rFonts w:ascii="Arial" w:hAnsi="Arial" w:cs="Arial"/>
          <w:sz w:val="24"/>
          <w:szCs w:val="24"/>
          <w14:ligatures w14:val="none"/>
        </w:rPr>
        <w:t>Karen Haltham (minutes)</w:t>
      </w:r>
      <w:r w:rsidR="00E26F72">
        <w:rPr>
          <w:rFonts w:ascii="Arial" w:hAnsi="Arial" w:cs="Arial"/>
          <w:sz w:val="24"/>
          <w:szCs w:val="24"/>
          <w14:ligatures w14:val="none"/>
        </w:rPr>
        <w:tab/>
      </w:r>
      <w:r w:rsidR="00E26F72">
        <w:rPr>
          <w:rFonts w:ascii="Arial" w:hAnsi="Arial" w:cs="Arial"/>
          <w:sz w:val="24"/>
          <w:szCs w:val="24"/>
          <w14:ligatures w14:val="none"/>
        </w:rPr>
        <w:tab/>
      </w:r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Ian White – Thurrock Council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Jen Lambert</w:t>
      </w:r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David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Eyres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Julia Wright</w:t>
      </w:r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Ann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Kerin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Christine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Ellisdon</w:t>
      </w:r>
      <w:proofErr w:type="spellEnd"/>
    </w:p>
    <w:p w:rsidR="00E26F72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Melanie Ryan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Kathy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Bourlet</w:t>
      </w:r>
      <w:proofErr w:type="spellEnd"/>
    </w:p>
    <w:p w:rsidR="00B56C83" w:rsidRPr="00E74D28" w:rsidRDefault="00E26F72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 w:rsidR="00B56C83"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Default="00B56C83" w:rsidP="00B56C83">
      <w:pPr>
        <w:rPr>
          <w:rFonts w:ascii="Arial" w:hAnsi="Arial" w:cs="Arial"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 xml:space="preserve">Apologies:   </w:t>
      </w:r>
      <w:r w:rsidR="00E26F72">
        <w:rPr>
          <w:rFonts w:ascii="Arial" w:hAnsi="Arial" w:cs="Arial"/>
          <w:bCs/>
          <w:sz w:val="24"/>
          <w:szCs w:val="24"/>
          <w14:ligatures w14:val="none"/>
        </w:rPr>
        <w:t xml:space="preserve">Andrea Valentine, Leanne </w:t>
      </w:r>
    </w:p>
    <w:p w:rsidR="00B56C83" w:rsidRPr="00E74D28" w:rsidRDefault="00B56C83" w:rsidP="00B56C83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1.</w:t>
      </w: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  <w:t>Welcome and Introductions</w:t>
      </w:r>
    </w:p>
    <w:p w:rsidR="00B56C83" w:rsidRPr="00E74D28" w:rsidRDefault="00B56C83" w:rsidP="00B56C83">
      <w:pPr>
        <w:ind w:left="720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Ian welcomed everyone to the meeting and introductions were made.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B56C83" w:rsidRPr="00E74D28" w:rsidRDefault="00B56C83" w:rsidP="00B56C83">
      <w:pPr>
        <w:pStyle w:val="ListParagraph"/>
        <w:ind w:left="785" w:hanging="36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2.</w:t>
      </w: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  <w:t>Minutes and Matters Arising from the Previous Forum Meeting</w:t>
      </w:r>
    </w:p>
    <w:p w:rsidR="00B56C83" w:rsidRPr="00E74D28" w:rsidRDefault="00B56C83" w:rsidP="00B56C83">
      <w:pPr>
        <w:ind w:left="720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 xml:space="preserve">The minutes were read and agreed as a correct record.  </w:t>
      </w:r>
    </w:p>
    <w:p w:rsidR="00E26F72" w:rsidRDefault="00B413A2" w:rsidP="00E26F72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It was suggested that the Suicide Prevention Action Plan</w:t>
      </w:r>
      <w:r w:rsidR="00E26F72">
        <w:rPr>
          <w:rFonts w:ascii="Arial" w:hAnsi="Arial" w:cs="Arial"/>
          <w:sz w:val="24"/>
          <w:szCs w:val="24"/>
          <w14:ligatures w14:val="none"/>
        </w:rPr>
        <w:t xml:space="preserve"> should include </w:t>
      </w:r>
      <w:r>
        <w:rPr>
          <w:rFonts w:ascii="Arial" w:hAnsi="Arial" w:cs="Arial"/>
          <w:sz w:val="24"/>
          <w:szCs w:val="24"/>
          <w14:ligatures w14:val="none"/>
        </w:rPr>
        <w:t xml:space="preserve">the creation of </w:t>
      </w:r>
      <w:r w:rsidR="00E26F72">
        <w:rPr>
          <w:rFonts w:ascii="Arial" w:hAnsi="Arial" w:cs="Arial"/>
          <w:sz w:val="24"/>
          <w:szCs w:val="24"/>
          <w14:ligatures w14:val="none"/>
        </w:rPr>
        <w:t xml:space="preserve">an Accident and Emergency Department (A&amp;E) for people with Mental Health issues.  </w:t>
      </w:r>
    </w:p>
    <w:p w:rsidR="00B56C83" w:rsidRDefault="00E26F72" w:rsidP="00E26F72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Facebook page – it was agreed to have an information board and not a full Facebook page – Julia said that Thurrock Adult Community College would like and share any information on</w:t>
      </w:r>
      <w:r w:rsidR="00BF11A4">
        <w:rPr>
          <w:rFonts w:ascii="Arial" w:hAnsi="Arial" w:cs="Arial"/>
          <w:sz w:val="24"/>
          <w:szCs w:val="24"/>
          <w14:ligatures w14:val="none"/>
        </w:rPr>
        <w:t xml:space="preserve"> the board to widen the area the Forum is advertised.</w:t>
      </w:r>
    </w:p>
    <w:p w:rsidR="00B56C83" w:rsidRPr="00E74D28" w:rsidRDefault="00B56C83" w:rsidP="00B56C83">
      <w:pPr>
        <w:ind w:left="72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74D28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B56C83" w:rsidRDefault="00BF11A4" w:rsidP="00BF11A4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lastRenderedPageBreak/>
        <w:t>3</w:t>
      </w:r>
      <w:r w:rsidR="00B56C83" w:rsidRPr="00BF11A4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="00B56C83" w:rsidRPr="00BF11A4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>Presentation by Ian White, Welfare Reform Co-Ordinator</w:t>
      </w:r>
    </w:p>
    <w:p w:rsidR="00ED4419" w:rsidRPr="00ED4419" w:rsidRDefault="00ED4419" w:rsidP="00BF11A4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:u w:val="single"/>
          <w14:ligatures w14:val="none"/>
        </w:rPr>
        <w:t>Welfare Reform, Financial Inclusion and Universal Credit</w:t>
      </w:r>
    </w:p>
    <w:p w:rsidR="00BF11A4" w:rsidRDefault="00BF11A4" w:rsidP="00BF11A4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 Welfare Reform</w:t>
      </w:r>
      <w:r w:rsidR="00EE584B">
        <w:rPr>
          <w:rFonts w:ascii="Arial" w:hAnsi="Arial" w:cs="Arial"/>
          <w:bCs/>
          <w:sz w:val="24"/>
          <w:szCs w:val="24"/>
          <w14:ligatures w14:val="none"/>
        </w:rPr>
        <w:t xml:space="preserve"> Act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was introduced in 2012.</w:t>
      </w:r>
    </w:p>
    <w:p w:rsidR="00BF11A4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£220 billion </w:t>
      </w:r>
      <w:r w:rsidR="00BF11A4">
        <w:rPr>
          <w:rFonts w:ascii="Arial" w:hAnsi="Arial" w:cs="Arial"/>
          <w:bCs/>
          <w:sz w:val="24"/>
          <w:szCs w:val="24"/>
          <w14:ligatures w14:val="none"/>
        </w:rPr>
        <w:t xml:space="preserve">spent on Welfare Reform, </w:t>
      </w:r>
      <w:r>
        <w:rPr>
          <w:rFonts w:ascii="Arial" w:hAnsi="Arial" w:cs="Arial"/>
          <w:bCs/>
          <w:sz w:val="24"/>
          <w:szCs w:val="24"/>
          <w14:ligatures w14:val="none"/>
        </w:rPr>
        <w:t>£</w:t>
      </w:r>
      <w:r w:rsidR="00BF11A4">
        <w:rPr>
          <w:rFonts w:ascii="Arial" w:hAnsi="Arial" w:cs="Arial"/>
          <w:bCs/>
          <w:sz w:val="24"/>
          <w:szCs w:val="24"/>
          <w14:ligatures w14:val="none"/>
        </w:rPr>
        <w:t xml:space="preserve">95 Billion of which is on Pensions.  Saving </w:t>
      </w:r>
      <w:r>
        <w:rPr>
          <w:rFonts w:ascii="Arial" w:hAnsi="Arial" w:cs="Arial"/>
          <w:bCs/>
          <w:sz w:val="24"/>
          <w:szCs w:val="24"/>
          <w14:ligatures w14:val="none"/>
        </w:rPr>
        <w:t>£</w:t>
      </w:r>
      <w:r w:rsidR="00BF11A4">
        <w:rPr>
          <w:rFonts w:ascii="Arial" w:hAnsi="Arial" w:cs="Arial"/>
          <w:bCs/>
          <w:sz w:val="24"/>
          <w:szCs w:val="24"/>
          <w14:ligatures w14:val="none"/>
        </w:rPr>
        <w:t>18 billion with introduction of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the</w:t>
      </w:r>
      <w:r w:rsidR="00BF11A4">
        <w:rPr>
          <w:rFonts w:ascii="Arial" w:hAnsi="Arial" w:cs="Arial"/>
          <w:bCs/>
          <w:sz w:val="24"/>
          <w:szCs w:val="24"/>
          <w14:ligatures w14:val="none"/>
        </w:rPr>
        <w:t xml:space="preserve"> Welfare Reform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agenda</w:t>
      </w:r>
      <w:r w:rsidR="00BF11A4">
        <w:rPr>
          <w:rFonts w:ascii="Arial" w:hAnsi="Arial" w:cs="Arial"/>
          <w:bCs/>
          <w:sz w:val="24"/>
          <w:szCs w:val="24"/>
          <w14:ligatures w14:val="none"/>
        </w:rPr>
        <w:t xml:space="preserve">.  </w:t>
      </w:r>
    </w:p>
    <w:p w:rsidR="00165E9D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It’s a </w:t>
      </w:r>
      <w:r w:rsidR="00165E9D">
        <w:rPr>
          <w:rFonts w:ascii="Arial" w:hAnsi="Arial" w:cs="Arial"/>
          <w:bCs/>
          <w:sz w:val="24"/>
          <w:szCs w:val="24"/>
          <w14:ligatures w14:val="none"/>
        </w:rPr>
        <w:t>complicated system</w:t>
      </w:r>
    </w:p>
    <w:p w:rsidR="00165E9D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</w:t>
      </w:r>
      <w:r w:rsidR="00165E9D">
        <w:rPr>
          <w:rFonts w:ascii="Arial" w:hAnsi="Arial" w:cs="Arial"/>
          <w:bCs/>
          <w:sz w:val="24"/>
          <w:szCs w:val="24"/>
          <w14:ligatures w14:val="none"/>
        </w:rPr>
        <w:t>New Benefit – Universal Credit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was introduced in 2014 – it won’t be fully implemented in </w:t>
      </w:r>
      <w:r w:rsidR="00165E9D">
        <w:rPr>
          <w:rFonts w:ascii="Arial" w:hAnsi="Arial" w:cs="Arial"/>
          <w:bCs/>
          <w:sz w:val="24"/>
          <w:szCs w:val="24"/>
          <w14:ligatures w14:val="none"/>
        </w:rPr>
        <w:t>Thurrock until 25.10.17 and is trickling through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It relates to</w:t>
      </w:r>
      <w:r w:rsidR="00165E9D">
        <w:rPr>
          <w:rFonts w:ascii="Arial" w:hAnsi="Arial" w:cs="Arial"/>
          <w:bCs/>
          <w:sz w:val="24"/>
          <w:szCs w:val="24"/>
          <w14:ligatures w14:val="none"/>
        </w:rPr>
        <w:t>.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Income based:</w:t>
      </w:r>
    </w:p>
    <w:p w:rsidR="00165E9D" w:rsidRP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165E9D">
        <w:rPr>
          <w:rFonts w:ascii="Arial" w:hAnsi="Arial" w:cs="Arial"/>
          <w:bCs/>
          <w:sz w:val="24"/>
          <w:szCs w:val="24"/>
          <w14:ligatures w14:val="none"/>
        </w:rPr>
        <w:t>JSA</w:t>
      </w:r>
    </w:p>
    <w:p w:rsidR="00165E9D" w:rsidRP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165E9D">
        <w:rPr>
          <w:rFonts w:ascii="Arial" w:hAnsi="Arial" w:cs="Arial"/>
          <w:bCs/>
          <w:sz w:val="24"/>
          <w:szCs w:val="24"/>
          <w14:ligatures w14:val="none"/>
        </w:rPr>
        <w:t>ESA</w:t>
      </w:r>
    </w:p>
    <w:p w:rsidR="00165E9D" w:rsidRP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165E9D">
        <w:rPr>
          <w:rFonts w:ascii="Arial" w:hAnsi="Arial" w:cs="Arial"/>
          <w:bCs/>
          <w:sz w:val="24"/>
          <w:szCs w:val="24"/>
          <w14:ligatures w14:val="none"/>
        </w:rPr>
        <w:t>Income Support</w:t>
      </w:r>
    </w:p>
    <w:p w:rsidR="00165E9D" w:rsidRP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165E9D">
        <w:rPr>
          <w:rFonts w:ascii="Arial" w:hAnsi="Arial" w:cs="Arial"/>
          <w:bCs/>
          <w:sz w:val="24"/>
          <w:szCs w:val="24"/>
          <w14:ligatures w14:val="none"/>
        </w:rPr>
        <w:t>Child Tax Credit</w:t>
      </w:r>
    </w:p>
    <w:p w:rsidR="00165E9D" w:rsidRP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 w:rsidRPr="00165E9D">
        <w:rPr>
          <w:rFonts w:ascii="Arial" w:hAnsi="Arial" w:cs="Arial"/>
          <w:bCs/>
          <w:sz w:val="24"/>
          <w:szCs w:val="24"/>
          <w14:ligatures w14:val="none"/>
        </w:rPr>
        <w:t>Working Tax Credit</w:t>
      </w:r>
    </w:p>
    <w:p w:rsidR="00165E9D" w:rsidRDefault="00165E9D" w:rsidP="00165E9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Housing </w:t>
      </w:r>
      <w:r w:rsidR="00EE584B">
        <w:rPr>
          <w:rFonts w:ascii="Arial" w:hAnsi="Arial" w:cs="Arial"/>
          <w:bCs/>
          <w:sz w:val="24"/>
          <w:szCs w:val="24"/>
          <w14:ligatures w14:val="none"/>
        </w:rPr>
        <w:t>Benefit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There is no Welfare Reform to Pensions as yet.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Housing benefit now paid to claimant</w:t>
      </w:r>
      <w:r w:rsidR="00EE584B">
        <w:rPr>
          <w:rFonts w:ascii="Arial" w:hAnsi="Arial" w:cs="Arial"/>
          <w:bCs/>
          <w:sz w:val="24"/>
          <w:szCs w:val="24"/>
          <w14:ligatures w14:val="none"/>
        </w:rPr>
        <w:t xml:space="preserve"> directly, not to landlords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First 7 days don’t get anything (was 3) and one calendar month before receive money.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Everyone will migrate across by 2022</w:t>
      </w: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The use of foodbanks has increased 5 fold.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84B" w:rsidTr="00EE584B">
        <w:tc>
          <w:tcPr>
            <w:tcW w:w="9016" w:type="dxa"/>
          </w:tcPr>
          <w:p w:rsidR="00EE584B" w:rsidRDefault="00EE584B" w:rsidP="00EE584B">
            <w:pPr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Question: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Are assessors trained to assess someone with Mental Health issues?</w:t>
            </w:r>
          </w:p>
          <w:p w:rsidR="00EE584B" w:rsidRDefault="00EE584B" w:rsidP="00EE584B">
            <w:pPr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</w:p>
          <w:p w:rsidR="00EE584B" w:rsidRDefault="00EE584B" w:rsidP="00EE584B">
            <w:pPr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Answer: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If advised no – appeal and ask for a ‘mandatory reconsideration’ – 78% are turned down – get to tribunal and increases likelihood of a successful appeal.</w:t>
            </w:r>
          </w:p>
          <w:p w:rsidR="00EE584B" w:rsidRDefault="00EE584B" w:rsidP="00EE584B">
            <w:pPr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</w:p>
        </w:tc>
      </w:tr>
    </w:tbl>
    <w:p w:rsidR="00EE584B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</w:p>
    <w:p w:rsidR="00165E9D" w:rsidRDefault="00165E9D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Those present shared some of their experiences of claiming benefits and the assessment process.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Thurrock Centre for Independent Living are able to assist with completion of PIP forms, based in the Beehive, West Street, Grays RM17 6XP – 01375 389864.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Courts are independent of DWP.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Universal Credit exceptions:</w:t>
      </w:r>
    </w:p>
    <w:p w:rsidR="00ED4419" w:rsidRDefault="00EE584B" w:rsidP="00ED441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Hostels</w:t>
      </w:r>
    </w:p>
    <w:p w:rsidR="00ED4419" w:rsidRDefault="00ED4419" w:rsidP="00ED441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lastRenderedPageBreak/>
        <w:t>Women’s Refuges</w:t>
      </w:r>
    </w:p>
    <w:p w:rsidR="00ED4419" w:rsidRDefault="00ED4419" w:rsidP="00ED441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More than two children</w:t>
      </w:r>
    </w:p>
    <w:p w:rsidR="00EE584B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It is possible to hav</w:t>
      </w:r>
      <w:r w:rsidR="00ED4419">
        <w:rPr>
          <w:rFonts w:ascii="Arial" w:hAnsi="Arial" w:cs="Arial"/>
          <w:bCs/>
          <w:sz w:val="24"/>
          <w:szCs w:val="24"/>
          <w14:ligatures w14:val="none"/>
        </w:rPr>
        <w:t>e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an</w:t>
      </w:r>
      <w:r w:rsidR="00ED4419">
        <w:rPr>
          <w:rFonts w:ascii="Arial" w:hAnsi="Arial" w:cs="Arial"/>
          <w:bCs/>
          <w:sz w:val="24"/>
          <w:szCs w:val="24"/>
          <w14:ligatures w14:val="none"/>
        </w:rPr>
        <w:t xml:space="preserve"> advance</w:t>
      </w:r>
      <w:r>
        <w:rPr>
          <w:rFonts w:ascii="Arial" w:hAnsi="Arial" w:cs="Arial"/>
          <w:bCs/>
          <w:sz w:val="24"/>
          <w:szCs w:val="24"/>
          <w14:ligatures w14:val="none"/>
        </w:rPr>
        <w:t>d</w:t>
      </w:r>
      <w:r w:rsidR="00ED4419">
        <w:rPr>
          <w:rFonts w:ascii="Arial" w:hAnsi="Arial" w:cs="Arial"/>
          <w:bCs/>
          <w:sz w:val="24"/>
          <w:szCs w:val="24"/>
          <w14:ligatures w14:val="none"/>
        </w:rPr>
        <w:t xml:space="preserve"> payment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of</w:t>
      </w:r>
      <w:r w:rsidR="00ED4419">
        <w:rPr>
          <w:rFonts w:ascii="Arial" w:hAnsi="Arial" w:cs="Arial"/>
          <w:bCs/>
          <w:sz w:val="24"/>
          <w:szCs w:val="24"/>
          <w14:ligatures w14:val="none"/>
        </w:rPr>
        <w:t xml:space="preserve"> up to half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, </w:t>
      </w:r>
      <w:r w:rsidR="00ED4419">
        <w:rPr>
          <w:rFonts w:ascii="Arial" w:hAnsi="Arial" w:cs="Arial"/>
          <w:bCs/>
          <w:sz w:val="24"/>
          <w:szCs w:val="24"/>
          <w14:ligatures w14:val="none"/>
        </w:rPr>
        <w:t xml:space="preserve">within 2 hours </w:t>
      </w:r>
    </w:p>
    <w:p w:rsidR="00EE584B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APA – </w:t>
      </w:r>
      <w:r w:rsidR="00EE584B">
        <w:rPr>
          <w:rFonts w:ascii="Arial" w:hAnsi="Arial" w:cs="Arial"/>
          <w:bCs/>
          <w:sz w:val="24"/>
          <w:szCs w:val="24"/>
          <w14:ligatures w14:val="none"/>
        </w:rPr>
        <w:t>Alternative Payment Arrangement (See details in presentation)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Thurrock Council are working alongside 16 work coaches.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DWP (Department of Work and Pensions) do not want any evictions.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Westminster and Barking and Dagenham are giving incentives to Private Landlords in Thurrock to house people from their areas, this has an effect on the amount of </w:t>
      </w:r>
      <w:r w:rsidR="003E2F61">
        <w:rPr>
          <w:rFonts w:ascii="Arial" w:hAnsi="Arial" w:cs="Arial"/>
          <w:bCs/>
          <w:sz w:val="24"/>
          <w:szCs w:val="24"/>
          <w14:ligatures w14:val="none"/>
        </w:rPr>
        <w:t>privately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rented housing in Thurrock.</w:t>
      </w:r>
    </w:p>
    <w:p w:rsidR="00ED4419" w:rsidRDefault="00ED4419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Apply for Universal Credit online – can also go to the hubs and Civic offices as there are people trained to help those who do not have access to a computer at home.  It takes about 20 minutes, will then receive a text or email with a date of an appointment at the job centre</w:t>
      </w:r>
      <w:r w:rsidR="003E2F61">
        <w:rPr>
          <w:rFonts w:ascii="Arial" w:hAnsi="Arial" w:cs="Arial"/>
          <w:bCs/>
          <w:sz w:val="24"/>
          <w:szCs w:val="24"/>
          <w14:ligatures w14:val="none"/>
        </w:rPr>
        <w:t>, will need to take ID, ie tenancy agreement, bank details etc. – the claim starts as soon as the button is pressed at the end of the application.</w:t>
      </w:r>
    </w:p>
    <w:p w:rsidR="003E2F61" w:rsidRDefault="00EE584B" w:rsidP="00EE584B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Disability</w:t>
      </w:r>
      <w:r w:rsidR="003E2F61">
        <w:rPr>
          <w:rFonts w:ascii="Arial" w:hAnsi="Arial" w:cs="Arial"/>
          <w:bCs/>
          <w:sz w:val="24"/>
          <w:szCs w:val="24"/>
          <w14:ligatures w14:val="none"/>
        </w:rPr>
        <w:t xml:space="preserve"> Living Allowance, Personal Independence Payment, Attendance Allowance and Council Tax are not covered by Universal Credit.</w:t>
      </w:r>
    </w:p>
    <w:p w:rsidR="004900B2" w:rsidRDefault="004900B2" w:rsidP="00ED4419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</w:p>
    <w:p w:rsidR="003E2F61" w:rsidRDefault="003E2F61" w:rsidP="003E2F61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4.</w:t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Pr="004900B2">
        <w:rPr>
          <w:rFonts w:ascii="Arial" w:hAnsi="Arial" w:cs="Arial"/>
          <w:b/>
          <w:bCs/>
          <w:sz w:val="24"/>
          <w:szCs w:val="24"/>
          <w14:ligatures w14:val="none"/>
        </w:rPr>
        <w:t>Presentation Questions and Answers</w:t>
      </w:r>
    </w:p>
    <w:p w:rsidR="003E2F61" w:rsidRDefault="003E2F61" w:rsidP="00ED4419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Several scenarios were shared.</w:t>
      </w:r>
    </w:p>
    <w:p w:rsidR="003E2F61" w:rsidRDefault="003E2F61" w:rsidP="00ED4419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Universal Credit for 18-63 year olds</w:t>
      </w:r>
    </w:p>
    <w:p w:rsidR="004900B2" w:rsidRDefault="003E2F61" w:rsidP="0086049E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Council Housing 18+ (exceptions for 16 and 17 year olds especially for those leaving care)</w:t>
      </w:r>
      <w:bookmarkStart w:id="0" w:name="_GoBack"/>
      <w:bookmarkEnd w:id="0"/>
    </w:p>
    <w:p w:rsidR="004900B2" w:rsidRDefault="004900B2" w:rsidP="004900B2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5.</w:t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Pr="004900B2">
        <w:rPr>
          <w:rFonts w:ascii="Arial" w:hAnsi="Arial" w:cs="Arial"/>
          <w:b/>
          <w:bCs/>
          <w:sz w:val="24"/>
          <w:szCs w:val="24"/>
          <w14:ligatures w14:val="none"/>
        </w:rPr>
        <w:t>Refreshments</w:t>
      </w:r>
    </w:p>
    <w:p w:rsidR="003E2F61" w:rsidRDefault="004900B2" w:rsidP="004900B2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6.</w:t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="003E2F61" w:rsidRPr="004900B2">
        <w:rPr>
          <w:rFonts w:ascii="Arial" w:hAnsi="Arial" w:cs="Arial"/>
          <w:b/>
          <w:bCs/>
          <w:sz w:val="24"/>
          <w:szCs w:val="24"/>
          <w14:ligatures w14:val="none"/>
        </w:rPr>
        <w:t>Personal Independence Payment (PIP) – Ian Evans</w:t>
      </w:r>
    </w:p>
    <w:p w:rsidR="003E2F61" w:rsidRDefault="003E2F61" w:rsidP="003E2F61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See Ian’s presentation</w:t>
      </w:r>
    </w:p>
    <w:p w:rsidR="003E2F61" w:rsidRDefault="003E2F61" w:rsidP="003E2F61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Those present divided into two groups to look at two case studies</w:t>
      </w:r>
      <w:r w:rsidR="0086049E">
        <w:rPr>
          <w:rFonts w:ascii="Arial" w:hAnsi="Arial" w:cs="Arial"/>
          <w:bCs/>
          <w:sz w:val="24"/>
          <w:szCs w:val="24"/>
          <w14:ligatures w14:val="none"/>
        </w:rPr>
        <w:t xml:space="preserve"> and carrying out assessments in mock PIP assessments, taking the role of assessors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and award</w:t>
      </w:r>
      <w:r w:rsidR="0086049E">
        <w:rPr>
          <w:rFonts w:ascii="Arial" w:hAnsi="Arial" w:cs="Arial"/>
          <w:bCs/>
          <w:sz w:val="24"/>
          <w:szCs w:val="24"/>
          <w14:ligatures w14:val="none"/>
        </w:rPr>
        <w:t>ing</w:t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86049E">
        <w:rPr>
          <w:rFonts w:ascii="Arial" w:hAnsi="Arial" w:cs="Arial"/>
          <w:bCs/>
          <w:sz w:val="24"/>
          <w:szCs w:val="24"/>
          <w14:ligatures w14:val="none"/>
        </w:rPr>
        <w:t>points</w:t>
      </w:r>
      <w:r>
        <w:rPr>
          <w:rFonts w:ascii="Arial" w:hAnsi="Arial" w:cs="Arial"/>
          <w:bCs/>
          <w:sz w:val="24"/>
          <w:szCs w:val="24"/>
          <w14:ligatures w14:val="none"/>
        </w:rPr>
        <w:t>.</w:t>
      </w:r>
    </w:p>
    <w:p w:rsidR="003E2F61" w:rsidRDefault="003E2F61" w:rsidP="003E2F61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Feedback:  </w:t>
      </w:r>
    </w:p>
    <w:p w:rsidR="003E2F61" w:rsidRDefault="003E2F61" w:rsidP="003E2F61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Case Study 6 (Denise) both groups discussed – group one gave 22 points and group two 21 points </w:t>
      </w:r>
    </w:p>
    <w:p w:rsidR="003E2F61" w:rsidRDefault="003E2F61" w:rsidP="003E2F61">
      <w:pPr>
        <w:ind w:left="72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Case Study 7 (Robert) Karen looked at this cas</w:t>
      </w:r>
      <w:r w:rsidR="0086049E">
        <w:rPr>
          <w:rFonts w:ascii="Arial" w:hAnsi="Arial" w:cs="Arial"/>
          <w:bCs/>
          <w:sz w:val="24"/>
          <w:szCs w:val="24"/>
          <w14:ligatures w14:val="none"/>
        </w:rPr>
        <w:t xml:space="preserve">e study and awarded 17 points. </w:t>
      </w:r>
    </w:p>
    <w:p w:rsidR="00144D39" w:rsidRPr="00407EAE" w:rsidRDefault="00FE23E1" w:rsidP="00407EAE">
      <w:pPr>
        <w:pStyle w:val="ListParagrap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</w:t>
      </w:r>
    </w:p>
    <w:p w:rsidR="00B56C83" w:rsidRPr="00E74D28" w:rsidRDefault="004900B2" w:rsidP="00144D39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lastRenderedPageBreak/>
        <w:t>7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="00B56C83" w:rsidRPr="00E74D28">
        <w:rPr>
          <w:rFonts w:ascii="Arial" w:hAnsi="Arial" w:cs="Arial"/>
          <w:b/>
          <w:bCs/>
          <w:sz w:val="24"/>
          <w:szCs w:val="24"/>
          <w14:ligatures w14:val="none"/>
        </w:rPr>
        <w:tab/>
        <w:t>Any Other Business</w:t>
      </w:r>
    </w:p>
    <w:p w:rsidR="004900B2" w:rsidRDefault="004900B2" w:rsidP="00407EAE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Topics for future meetings:</w:t>
      </w:r>
    </w:p>
    <w:p w:rsidR="0086049E" w:rsidRDefault="0086049E" w:rsidP="00407EAE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Market Position Statement.</w:t>
      </w:r>
    </w:p>
    <w:p w:rsidR="004900B2" w:rsidRDefault="004900B2" w:rsidP="00407EAE">
      <w:pPr>
        <w:ind w:left="72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Monday 12</w:t>
      </w:r>
      <w:r w:rsidRPr="004900B2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 w:rsidR="0086049E">
        <w:rPr>
          <w:rFonts w:ascii="Arial" w:hAnsi="Arial" w:cs="Arial"/>
          <w:sz w:val="24"/>
          <w:szCs w:val="24"/>
          <w14:ligatures w14:val="none"/>
        </w:rPr>
        <w:t xml:space="preserve"> February 2018 at 1:30pm</w:t>
      </w:r>
    </w:p>
    <w:p w:rsidR="00B56C83" w:rsidRPr="004900B2" w:rsidRDefault="00407EAE" w:rsidP="00407EAE">
      <w:pPr>
        <w:ind w:left="720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br/>
      </w:r>
    </w:p>
    <w:p w:rsidR="00B56C83" w:rsidRPr="00E74D28" w:rsidRDefault="00B56C83" w:rsidP="00B56C83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 w:rsidRPr="004900B2">
        <w:rPr>
          <w:rFonts w:ascii="Arial" w:hAnsi="Arial" w:cs="Arial"/>
          <w:b/>
          <w:sz w:val="24"/>
          <w:szCs w:val="24"/>
          <w14:ligatures w14:val="none"/>
        </w:rPr>
        <w:t>The next meeting will take place on</w:t>
      </w:r>
      <w:r w:rsidRPr="00E74D28">
        <w:rPr>
          <w:rFonts w:ascii="Arial" w:hAnsi="Arial" w:cs="Arial"/>
          <w:sz w:val="24"/>
          <w:szCs w:val="24"/>
          <w14:ligatures w14:val="none"/>
        </w:rPr>
        <w:t>:</w:t>
      </w:r>
    </w:p>
    <w:p w:rsidR="00B56C83" w:rsidRPr="00E74D28" w:rsidRDefault="004900B2" w:rsidP="00B56C83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Monday 12</w:t>
      </w:r>
      <w:r w:rsidRPr="004900B2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 xml:space="preserve"> February 2018, 1.30 for </w:t>
      </w:r>
      <w:r w:rsidR="00B56C83" w:rsidRPr="00E74D28">
        <w:rPr>
          <w:rFonts w:ascii="Arial" w:hAnsi="Arial" w:cs="Arial"/>
          <w:sz w:val="24"/>
          <w:szCs w:val="24"/>
          <w14:ligatures w14:val="none"/>
        </w:rPr>
        <w:t xml:space="preserve">2.00 pm to 4.00 pm </w:t>
      </w:r>
    </w:p>
    <w:p w:rsidR="00E456A0" w:rsidRDefault="00B56C83" w:rsidP="00F23892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 w:rsidRPr="00E74D28">
        <w:rPr>
          <w:rFonts w:ascii="Arial" w:hAnsi="Arial" w:cs="Arial"/>
          <w:sz w:val="24"/>
          <w:szCs w:val="24"/>
          <w14:ligatures w14:val="none"/>
        </w:rPr>
        <w:t>at Thurrock Mind</w:t>
      </w:r>
      <w:r w:rsidR="00F23892">
        <w:rPr>
          <w:rFonts w:ascii="Arial" w:hAnsi="Arial" w:cs="Arial"/>
          <w:sz w:val="24"/>
          <w:szCs w:val="24"/>
          <w14:ligatures w14:val="none"/>
        </w:rPr>
        <w:t>, Crown House, Crown Road, Grays</w:t>
      </w:r>
    </w:p>
    <w:p w:rsidR="004900B2" w:rsidRDefault="004900B2" w:rsidP="00F23892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</w:p>
    <w:p w:rsidR="004900B2" w:rsidRDefault="004900B2" w:rsidP="00F23892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 w:rsidRPr="004900B2">
        <w:rPr>
          <w:rFonts w:ascii="Arial" w:hAnsi="Arial" w:cs="Arial"/>
          <w:b/>
          <w:sz w:val="24"/>
          <w:szCs w:val="24"/>
          <w14:ligatures w14:val="none"/>
        </w:rPr>
        <w:t>Future Meetings</w:t>
      </w:r>
      <w:r>
        <w:rPr>
          <w:rFonts w:ascii="Arial" w:hAnsi="Arial" w:cs="Arial"/>
          <w:sz w:val="24"/>
          <w:szCs w:val="24"/>
          <w14:ligatures w14:val="none"/>
        </w:rPr>
        <w:t>:</w:t>
      </w:r>
    </w:p>
    <w:p w:rsidR="004900B2" w:rsidRDefault="004900B2" w:rsidP="00F23892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Monday 14</w:t>
      </w:r>
      <w:r w:rsidRPr="004900B2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 xml:space="preserve"> May 2018, Monday 13</w:t>
      </w:r>
      <w:r w:rsidRPr="004900B2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 xml:space="preserve"> August 2018 and </w:t>
      </w:r>
    </w:p>
    <w:p w:rsidR="004900B2" w:rsidRPr="00F23892" w:rsidRDefault="004900B2" w:rsidP="00F23892">
      <w:pPr>
        <w:ind w:left="72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Monday 12</w:t>
      </w:r>
      <w:r w:rsidRPr="004900B2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 xml:space="preserve"> November 2018</w:t>
      </w:r>
    </w:p>
    <w:sectPr w:rsidR="004900B2" w:rsidRPr="00F23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4E" w:rsidRDefault="0077024E" w:rsidP="0077024E">
      <w:pPr>
        <w:spacing w:after="0" w:line="240" w:lineRule="auto"/>
      </w:pPr>
      <w:r>
        <w:separator/>
      </w:r>
    </w:p>
  </w:endnote>
  <w:endnote w:type="continuationSeparator" w:id="0">
    <w:p w:rsidR="0077024E" w:rsidRDefault="0077024E" w:rsidP="0077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B2" w:rsidRDefault="00490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B2" w:rsidRDefault="00490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B2" w:rsidRDefault="0049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4E" w:rsidRDefault="0077024E" w:rsidP="0077024E">
      <w:pPr>
        <w:spacing w:after="0" w:line="240" w:lineRule="auto"/>
      </w:pPr>
      <w:r>
        <w:separator/>
      </w:r>
    </w:p>
  </w:footnote>
  <w:footnote w:type="continuationSeparator" w:id="0">
    <w:p w:rsidR="0077024E" w:rsidRDefault="0077024E" w:rsidP="0077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E" w:rsidRDefault="0077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E" w:rsidRDefault="00770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E" w:rsidRDefault="0077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674"/>
    <w:multiLevelType w:val="hybridMultilevel"/>
    <w:tmpl w:val="6D0E1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69D"/>
    <w:multiLevelType w:val="hybridMultilevel"/>
    <w:tmpl w:val="45EA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AFB"/>
    <w:multiLevelType w:val="hybridMultilevel"/>
    <w:tmpl w:val="BC6C1EE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2D574B4"/>
    <w:multiLevelType w:val="hybridMultilevel"/>
    <w:tmpl w:val="A1BE6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95591"/>
    <w:multiLevelType w:val="hybridMultilevel"/>
    <w:tmpl w:val="60EA4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DCF"/>
    <w:multiLevelType w:val="hybridMultilevel"/>
    <w:tmpl w:val="82A2F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1313F"/>
    <w:multiLevelType w:val="hybridMultilevel"/>
    <w:tmpl w:val="420C3128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7F13F1"/>
    <w:multiLevelType w:val="hybridMultilevel"/>
    <w:tmpl w:val="54CEE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D5BB5"/>
    <w:multiLevelType w:val="hybridMultilevel"/>
    <w:tmpl w:val="E25C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3"/>
    <w:rsid w:val="00014B55"/>
    <w:rsid w:val="00144D39"/>
    <w:rsid w:val="00165E9D"/>
    <w:rsid w:val="001C7F8D"/>
    <w:rsid w:val="00251F03"/>
    <w:rsid w:val="0028754D"/>
    <w:rsid w:val="003E2F61"/>
    <w:rsid w:val="00404807"/>
    <w:rsid w:val="00407EAE"/>
    <w:rsid w:val="004900B2"/>
    <w:rsid w:val="005054BF"/>
    <w:rsid w:val="00534DA0"/>
    <w:rsid w:val="005B54B3"/>
    <w:rsid w:val="0077024E"/>
    <w:rsid w:val="007A104F"/>
    <w:rsid w:val="0086049E"/>
    <w:rsid w:val="008B3F5E"/>
    <w:rsid w:val="00904793"/>
    <w:rsid w:val="00935589"/>
    <w:rsid w:val="00B413A2"/>
    <w:rsid w:val="00B56C83"/>
    <w:rsid w:val="00BD5B13"/>
    <w:rsid w:val="00BF11A4"/>
    <w:rsid w:val="00C06EF0"/>
    <w:rsid w:val="00E23678"/>
    <w:rsid w:val="00E26F72"/>
    <w:rsid w:val="00E456A0"/>
    <w:rsid w:val="00E74D28"/>
    <w:rsid w:val="00ED4419"/>
    <w:rsid w:val="00ED5179"/>
    <w:rsid w:val="00EE584B"/>
    <w:rsid w:val="00F23892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A72F7BB"/>
  <w15:chartTrackingRefBased/>
  <w15:docId w15:val="{A484B49D-EDE0-4468-8F6F-D0DD648D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83"/>
    <w:pPr>
      <w:spacing w:line="256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83"/>
    <w:pPr>
      <w:ind w:left="720"/>
    </w:pPr>
  </w:style>
  <w:style w:type="paragraph" w:styleId="NoSpacing">
    <w:name w:val="No Spacing"/>
    <w:uiPriority w:val="1"/>
    <w:qFormat/>
    <w:rsid w:val="00B56C83"/>
    <w:pPr>
      <w:spacing w:after="0" w:line="240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7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4E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7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4E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5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A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4233-AA79-40BC-91FA-B2E434F3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TCIL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tcildefault</dc:creator>
  <cp:keywords/>
  <dc:description/>
  <cp:lastModifiedBy>Ian Evans</cp:lastModifiedBy>
  <cp:revision>4</cp:revision>
  <cp:lastPrinted>2017-08-29T13:41:00Z</cp:lastPrinted>
  <dcterms:created xsi:type="dcterms:W3CDTF">2017-11-22T11:33:00Z</dcterms:created>
  <dcterms:modified xsi:type="dcterms:W3CDTF">2018-01-31T11:38:00Z</dcterms:modified>
</cp:coreProperties>
</file>